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11" w:rsidRPr="009A3E11" w:rsidRDefault="009A3E11" w:rsidP="009A3E11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9A3E11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Указ Президента Российской Федерации от 31 декабря 2015 года N 683</w:t>
      </w:r>
    </w:p>
    <w:p w:rsidR="009A3E11" w:rsidRPr="009A3E11" w:rsidRDefault="009A3E11" w:rsidP="009A3E11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9A3E11">
        <w:rPr>
          <w:rFonts w:ascii="Arial" w:hAnsi="Arial" w:cs="Arial"/>
          <w:color w:val="333333"/>
          <w:spacing w:val="0"/>
          <w:w w:val="100"/>
          <w:sz w:val="13"/>
          <w:szCs w:val="13"/>
        </w:rPr>
        <w:t>Указ Президента Российской Федерации от 31 декабря 2015 года N 683</w:t>
      </w:r>
    </w:p>
    <w:p w:rsidR="009A3E11" w:rsidRPr="009A3E11" w:rsidRDefault="009A3E11" w:rsidP="009A3E11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t>Указ Президента Российской Федерации от 31 декабря 2015 года N 683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"О Стратегии национальной безопасности Российской Федерации"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Стратегия национальной безопасности Российской Федерации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 Президента РФ о Стратегии национальной безопасности страны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Дата подписания: 31.12.2015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Дата публикации: 31.12.2015 00:00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соответствии с федеральными законами от 28 декабря 2010 г. N 390-ФЗ "О безопасности" и от 28 июня 2014 г. N 172-ФЗ "О стратегическом планировании в Российской Федерации" постановляю: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Утвердить прилагаемую Стратегию национальной безопасности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Признать утратившими силу: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Указ Президента Российской Федерации от 12 мая 2009 г. N 537 "О Стратегии национальной безопасности Российской Федерации до 2020 года" (Собрание законодательства Российской Федерации, 2009, N 20, ст. 2444);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пункт 27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Настоящий Указ вступает в силу со дня его подписания.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Президент Российской Федерации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В. Путин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Стратегия национальной безопасности Российской Федерации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Общие положения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Правовую основу настоящей Стратегии составляют Конституция Российской Федерации, федеральные законы от 28 декабря 2010 г. N 390-ФЗ "О безопасности" и от 28 июня 2014 г. N 172-ФЗ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 В настоящей Стратегии используются следующие основные понятия: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национальные интересы Российской Федерации (далее - национальные интересы) объективно значимые потребности личности, общества и государства в обеспечении их защищенности и устойчивого развития;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система обеспечения национальной безопасности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II. Россия в современном мире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13. 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военнобиологических лабораторий США.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22. 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24. 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III. Национальные интересы и стратегические национальные приоритеты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30. Национальными интересами на долгосрочную перспективу являются: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качества жизни, укрепление здоровья населения, обеспечение стабильного демографического развития страны;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сохранение и развитие культуры, традиционных российских духовно-нравственных ценностей;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конкурентоспособности национальной экономики;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31. Обеспечение национальных интересов осуществляется посредством реализации следующих стратегических национальных приоритетов: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оборона страны;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государственная и общественная безопасность;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качества жизни российских граждан;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экономический рост;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наука, технологии и образование;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здравоохранение;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экология живых систем и рациональное природопользование;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стратегическая стабильность и равноправное стратегическое партнерство.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IV. Обеспечение национальной безопасности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Оборона страны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доктриной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Государственная и общественная безопасность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обществе. защита населения и территорий от чрезвычайных ситуаций природного и техногенного характера.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43. Основными угрозами государственной и общественной безопасности являются: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коррупция;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стратегия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47. В целях обеспечения государственной и общественной безопасности: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совершенствуется система выявления и анализа угроз в информационной сфере, противодействия им;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повышается социальная ответственность органов обеспечения государственной и общественной безопасности.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Повышение качества жизни российских граждан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совершенствуют защиту прав и свобод человека путем развития законодательства, судебной и правоохранительной систем;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улучшают и развивают транспортную и жилищно-коммунальную инфраструктуры;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54. Обеспечение продовольственной безопасности осуществляется за счет: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достижения продовольственной независимости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повышения плодородия почв, предотвращения истощения и сокращения площадей сельскохозяйственных земель и пахотных угодий;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подготовки научных работников и высококвалифицированных специалистов в области сельского хозяйства.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Экономический рост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56. 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59. 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61. 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сбалансированности бюджетной системы и совершенствование межбюджетных отношений в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состояния отраслей экономики;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сокращение неформальной занятости и легализацию трудовых отношений, повышение инвестиций в развитие человеческого капитала;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65. 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Наука, технологии и образование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67. Стратегическими целями обеспечения национальной безопасности в области науки, технологий и образования являются: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68. 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70. Для решения задач национальной безопасности в области науки, технологий и образования необходимы: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благоприятных условий для научной деятельности;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междисциплинарных исследований;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качества преподавания русского языка, литературы, отечественной истории, основ светской этики, традиционных религий;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Здравоохранение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увеличение продолжительности жизни, снижение уровня инвалидности и смертности населения, увеличение численности населения;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доступности и качества медицинской помощи;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 вертикальной системы контроля качества, эффективности и безопасности лекарственных средств;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соблюдение прав граждан в сфере охраны здоровья и обеспечение связанных с этими правами государственных гарантий.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службы охраны материнства и детства;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паллиативной медицинской помощи, в том числе детям;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внедрение современных информационных и коммуникационных технологий;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системы мониторинга биологической обстановки на территории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медицинской реабилитации населения и совершенствование системы санаторно-курортного лечения, в том числе детей;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возрождение традиций милосердия;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широкое внедрение инструментов государственно-частного партнерства в сфере охраны здоровья граждан;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конкурентоспособности российского здравоохранения на мировом рынке.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Культура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76. Стратегическими целями обеспечения национальной безопасности в области культуры являются: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сохранение и развитие общероссийской идентичности народов Российской Федерации, единого культурного пространства страны;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повышение роли России в мировом гуманитарном и культурном пространстве.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79. 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81. 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Содружества Независимых Государств для ускорения процессов евразийской интеграции.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82. Укреплению национальной безопасности в области культуры способствуют: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внутреннего культурно-познавательного туризма;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совершенствование системы подготовки специалистов в области истории и культуры, а также их социального обеспечения;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развитие общей гуманитарной и информационно-телекоммуникационной среды на территориях государств участников Содружества Независимых Государств и в сопредельных регионах;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культурного потенциала России в интересах многостороннего международного сотрудничества.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Экология живых систем и рациональное природопользование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83. Стратегическими целями обеспечения экологической безопасности и рационального природопользования являются: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стимулирование внедрения инновационных технологий и развития экологически безопасных производств;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развитие индустрии утилизации и вторичного использования отходов производства и потребления;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повышение требований экологических стандартов и создание системы экологических фондов;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Стратегическая стабильность и равноправное стратегическое партнерство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88. 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89. Развитие отношений двустороннего и многостороннего сотрудничества с государствами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участниками Содружества Независимых Государств, Республикой Абхазия и Республикой Южная Осетия.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94. Российская Федерация отводит важную роль привилегированному стратегическому партнерству с Республикой Индией.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99. Особое значение имеет развитие равноправного и взаимовыгодного международного сотрудничества в Арктике.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100. 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104. В целях сохранения стратегической стабильности Российская Федерация: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содействует формированию системы международной информационной безопасности;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V. Организационные, нормативно-правовые и информационные основы реализации настоящей Стратегии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реализации стратегических национальных приоритетов.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110. 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 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VI. Основные показатели состояния национальной безопасности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115. Основными показателями, необходимыми для оценки состояния национальной безопасности, являются: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ожидаемая продолжительность жизни;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валовой внутренний продукт на душу населения;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уровень инфляции;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уровень безработицы;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доля расходов в валовом внутреннем продукте на развитие науки, технологий и образования;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доля расходов в валовом внутреннем продукте на культуру;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доля территории Российской Федерации, не соответствующая экологическим нормативам.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116. Перечень основных показателей состояния национальной безопасности может уточняться по результатам его мониторинга.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* * *</w:t>
      </w:r>
      <w:r w:rsidRPr="009A3E11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efaultTabStop w:val="708"/>
  <w:characterSpacingControl w:val="doNotCompress"/>
  <w:compat/>
  <w:rsids>
    <w:rsidRoot w:val="009A3E11"/>
    <w:rsid w:val="000013AD"/>
    <w:rsid w:val="00704677"/>
    <w:rsid w:val="00992386"/>
    <w:rsid w:val="009A3E11"/>
    <w:rsid w:val="00F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10142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11855</Words>
  <Characters>67579</Characters>
  <Application>Microsoft Office Word</Application>
  <DocSecurity>0</DocSecurity>
  <Lines>563</Lines>
  <Paragraphs>158</Paragraphs>
  <ScaleCrop>false</ScaleCrop>
  <Company/>
  <LinksUpToDate>false</LinksUpToDate>
  <CharactersWithSpaces>79276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1</cp:revision>
  <dcterms:created xsi:type="dcterms:W3CDTF">2019-04-12T11:05:00Z</dcterms:created>
  <dcterms:modified xsi:type="dcterms:W3CDTF">2019-04-12T11:05:00Z</dcterms:modified>
</cp:coreProperties>
</file>