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15" w:rsidRDefault="00607D88" w:rsidP="00607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</w:t>
      </w:r>
    </w:p>
    <w:p w:rsidR="00607D88" w:rsidRDefault="00607D88" w:rsidP="00607D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ходе реализации и оценке эффективности реализации муниципальной программы </w:t>
      </w:r>
      <w:r w:rsidRPr="00A318D5">
        <w:rPr>
          <w:rFonts w:ascii="Times New Roman" w:hAnsi="Times New Roman"/>
          <w:sz w:val="28"/>
        </w:rPr>
        <w:t>«</w:t>
      </w:r>
      <w:r w:rsidRPr="00A318D5">
        <w:rPr>
          <w:rFonts w:ascii="Times New Roman" w:hAnsi="Times New Roman"/>
          <w:sz w:val="28"/>
          <w:szCs w:val="28"/>
        </w:rPr>
        <w:t xml:space="preserve">Комплексное развитие сельского поселения </w:t>
      </w:r>
      <w:r w:rsidR="00D74ECC">
        <w:rPr>
          <w:rFonts w:ascii="Times New Roman" w:hAnsi="Times New Roman"/>
          <w:sz w:val="28"/>
          <w:szCs w:val="28"/>
        </w:rPr>
        <w:t>Союз</w:t>
      </w:r>
      <w:proofErr w:type="gramStart"/>
      <w:r w:rsidR="00D74ECC">
        <w:rPr>
          <w:rFonts w:ascii="Times New Roman" w:hAnsi="Times New Roman"/>
          <w:sz w:val="28"/>
          <w:szCs w:val="28"/>
        </w:rPr>
        <w:t xml:space="preserve"> Ч</w:t>
      </w:r>
      <w:proofErr w:type="gramEnd"/>
      <w:r w:rsidR="00D74ECC">
        <w:rPr>
          <w:rFonts w:ascii="Times New Roman" w:hAnsi="Times New Roman"/>
          <w:sz w:val="28"/>
          <w:szCs w:val="28"/>
        </w:rPr>
        <w:t xml:space="preserve">етырех Хуторов </w:t>
      </w:r>
      <w:r w:rsidRPr="00A318D5">
        <w:rPr>
          <w:rFonts w:ascii="Times New Roman" w:hAnsi="Times New Roman"/>
          <w:sz w:val="28"/>
          <w:szCs w:val="28"/>
        </w:rPr>
        <w:t>Гулькевичского района в сфере экономики и жилищно-коммунального хозяйства</w:t>
      </w:r>
      <w:r w:rsidR="00985021">
        <w:rPr>
          <w:rFonts w:ascii="Times New Roman" w:hAnsi="Times New Roman"/>
          <w:sz w:val="28"/>
        </w:rPr>
        <w:t>» на 2022</w:t>
      </w:r>
      <w:r w:rsidR="00433D02">
        <w:rPr>
          <w:rFonts w:ascii="Times New Roman" w:hAnsi="Times New Roman"/>
          <w:sz w:val="28"/>
        </w:rPr>
        <w:t xml:space="preserve"> – 202</w:t>
      </w:r>
      <w:r w:rsidR="00985021">
        <w:rPr>
          <w:rFonts w:ascii="Times New Roman" w:hAnsi="Times New Roman"/>
          <w:sz w:val="28"/>
        </w:rPr>
        <w:t>7</w:t>
      </w:r>
      <w:r w:rsidRPr="00A318D5">
        <w:rPr>
          <w:rFonts w:ascii="Times New Roman" w:hAnsi="Times New Roman"/>
          <w:sz w:val="28"/>
        </w:rPr>
        <w:t xml:space="preserve"> годы»</w:t>
      </w:r>
      <w:r w:rsidR="00B96C14">
        <w:rPr>
          <w:rFonts w:ascii="Times New Roman" w:hAnsi="Times New Roman"/>
          <w:sz w:val="28"/>
        </w:rPr>
        <w:t xml:space="preserve"> </w:t>
      </w:r>
      <w:r w:rsidR="00985021">
        <w:rPr>
          <w:rFonts w:ascii="Times New Roman" w:hAnsi="Times New Roman"/>
          <w:sz w:val="28"/>
          <w:szCs w:val="28"/>
        </w:rPr>
        <w:t>за 202</w:t>
      </w:r>
      <w:r w:rsidR="004A02F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607D88" w:rsidRDefault="00607D88" w:rsidP="00607D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7D88" w:rsidRDefault="00607D88" w:rsidP="00607D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Pr="00A318D5">
        <w:rPr>
          <w:rFonts w:ascii="Times New Roman" w:hAnsi="Times New Roman"/>
          <w:sz w:val="28"/>
        </w:rPr>
        <w:t>«</w:t>
      </w:r>
      <w:r w:rsidRPr="00A318D5">
        <w:rPr>
          <w:rFonts w:ascii="Times New Roman" w:hAnsi="Times New Roman"/>
          <w:sz w:val="28"/>
          <w:szCs w:val="28"/>
        </w:rPr>
        <w:t xml:space="preserve">Комплексное развитие сельского поселения </w:t>
      </w:r>
      <w:r w:rsidR="00D74ECC" w:rsidRPr="00D74ECC">
        <w:rPr>
          <w:rFonts w:ascii="Times New Roman" w:hAnsi="Times New Roman"/>
          <w:sz w:val="28"/>
          <w:szCs w:val="28"/>
        </w:rPr>
        <w:t>Союз</w:t>
      </w:r>
      <w:proofErr w:type="gramStart"/>
      <w:r w:rsidR="00D74ECC" w:rsidRPr="00D74ECC">
        <w:rPr>
          <w:rFonts w:ascii="Times New Roman" w:hAnsi="Times New Roman"/>
          <w:sz w:val="28"/>
          <w:szCs w:val="28"/>
        </w:rPr>
        <w:t xml:space="preserve"> Ч</w:t>
      </w:r>
      <w:proofErr w:type="gramEnd"/>
      <w:r w:rsidR="00D74ECC" w:rsidRPr="00D74ECC">
        <w:rPr>
          <w:rFonts w:ascii="Times New Roman" w:hAnsi="Times New Roman"/>
          <w:sz w:val="28"/>
          <w:szCs w:val="28"/>
        </w:rPr>
        <w:t>етырех Хуторов</w:t>
      </w:r>
      <w:r w:rsidRPr="00A318D5">
        <w:rPr>
          <w:rFonts w:ascii="Times New Roman" w:hAnsi="Times New Roman"/>
          <w:sz w:val="28"/>
          <w:szCs w:val="28"/>
        </w:rPr>
        <w:t xml:space="preserve"> </w:t>
      </w:r>
      <w:r w:rsidRPr="00607D88">
        <w:rPr>
          <w:rFonts w:ascii="Times New Roman" w:hAnsi="Times New Roman" w:cs="Times New Roman"/>
          <w:sz w:val="28"/>
          <w:szCs w:val="28"/>
        </w:rPr>
        <w:t>Гулькевичского района в сфере экономики и жилищно-коммунального хозяйства</w:t>
      </w:r>
      <w:r w:rsidR="00433D02">
        <w:rPr>
          <w:rFonts w:ascii="Times New Roman" w:hAnsi="Times New Roman" w:cs="Times New Roman"/>
          <w:sz w:val="28"/>
        </w:rPr>
        <w:t>» на 20</w:t>
      </w:r>
      <w:r w:rsidR="00985021">
        <w:rPr>
          <w:rFonts w:ascii="Times New Roman" w:hAnsi="Times New Roman" w:cs="Times New Roman"/>
          <w:sz w:val="28"/>
        </w:rPr>
        <w:t>22</w:t>
      </w:r>
      <w:r w:rsidR="00433D02">
        <w:rPr>
          <w:rFonts w:ascii="Times New Roman" w:hAnsi="Times New Roman" w:cs="Times New Roman"/>
          <w:sz w:val="28"/>
        </w:rPr>
        <w:t xml:space="preserve"> – 202</w:t>
      </w:r>
      <w:r w:rsidR="00985021">
        <w:rPr>
          <w:rFonts w:ascii="Times New Roman" w:hAnsi="Times New Roman" w:cs="Times New Roman"/>
          <w:sz w:val="28"/>
        </w:rPr>
        <w:t>7</w:t>
      </w:r>
      <w:r w:rsidRPr="00607D88">
        <w:rPr>
          <w:rFonts w:ascii="Times New Roman" w:hAnsi="Times New Roman" w:cs="Times New Roman"/>
          <w:sz w:val="28"/>
        </w:rPr>
        <w:t xml:space="preserve"> годы» (далее – Программа) утверждена постановлением администрации </w:t>
      </w:r>
      <w:r w:rsidRPr="00607D8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D74ECC" w:rsidRPr="00D74ECC">
        <w:rPr>
          <w:rFonts w:ascii="Times New Roman" w:hAnsi="Times New Roman" w:cs="Times New Roman"/>
          <w:sz w:val="28"/>
          <w:szCs w:val="28"/>
        </w:rPr>
        <w:t>Союз Четырех Хуторов</w:t>
      </w:r>
      <w:r w:rsidRPr="00607D88">
        <w:rPr>
          <w:rFonts w:ascii="Times New Roman" w:hAnsi="Times New Roman" w:cs="Times New Roman"/>
          <w:sz w:val="28"/>
          <w:szCs w:val="28"/>
        </w:rPr>
        <w:t xml:space="preserve"> Гулькевичского района </w:t>
      </w:r>
      <w:r w:rsidRPr="00607D88">
        <w:rPr>
          <w:rFonts w:ascii="Times New Roman" w:hAnsi="Times New Roman" w:cs="Times New Roman"/>
          <w:sz w:val="28"/>
        </w:rPr>
        <w:t>от 1</w:t>
      </w:r>
      <w:r w:rsidR="00985021">
        <w:rPr>
          <w:rFonts w:ascii="Times New Roman" w:hAnsi="Times New Roman" w:cs="Times New Roman"/>
          <w:sz w:val="28"/>
        </w:rPr>
        <w:t>3 октября 2021</w:t>
      </w:r>
      <w:r w:rsidRPr="00607D88">
        <w:rPr>
          <w:rFonts w:ascii="Times New Roman" w:hAnsi="Times New Roman" w:cs="Times New Roman"/>
          <w:sz w:val="28"/>
        </w:rPr>
        <w:t xml:space="preserve"> года № </w:t>
      </w:r>
      <w:r w:rsidR="00985021">
        <w:rPr>
          <w:rFonts w:ascii="Times New Roman" w:hAnsi="Times New Roman" w:cs="Times New Roman"/>
          <w:sz w:val="28"/>
        </w:rPr>
        <w:t>41</w:t>
      </w:r>
      <w:r w:rsidRPr="00607D88">
        <w:rPr>
          <w:rFonts w:ascii="Times New Roman" w:hAnsi="Times New Roman" w:cs="Times New Roman"/>
          <w:sz w:val="28"/>
        </w:rPr>
        <w:t xml:space="preserve"> «Об утверждении муниципальной программы  «</w:t>
      </w:r>
      <w:r w:rsidRPr="00607D88">
        <w:rPr>
          <w:rFonts w:ascii="Times New Roman" w:eastAsia="Calibri" w:hAnsi="Times New Roman" w:cs="Times New Roman"/>
          <w:sz w:val="28"/>
          <w:szCs w:val="28"/>
        </w:rPr>
        <w:t xml:space="preserve">Комплексное развитие сельского поселения </w:t>
      </w:r>
      <w:r w:rsidR="00D74ECC" w:rsidRPr="00D74ECC">
        <w:rPr>
          <w:rFonts w:ascii="Times New Roman" w:eastAsia="Calibri" w:hAnsi="Times New Roman" w:cs="Times New Roman"/>
          <w:sz w:val="28"/>
          <w:szCs w:val="28"/>
        </w:rPr>
        <w:t>Союз Четырех Хуторов</w:t>
      </w:r>
      <w:r w:rsidRPr="00607D88">
        <w:rPr>
          <w:rFonts w:ascii="Times New Roman" w:eastAsia="Calibri" w:hAnsi="Times New Roman" w:cs="Times New Roman"/>
          <w:sz w:val="28"/>
          <w:szCs w:val="28"/>
        </w:rPr>
        <w:t xml:space="preserve"> Гулькевичского района в сфере экономики и жилищно-коммунального хозяйства</w:t>
      </w:r>
      <w:r w:rsidR="00985021">
        <w:rPr>
          <w:rFonts w:ascii="Times New Roman" w:hAnsi="Times New Roman" w:cs="Times New Roman"/>
          <w:sz w:val="28"/>
        </w:rPr>
        <w:t>» на 2022</w:t>
      </w:r>
      <w:r w:rsidR="00433D02">
        <w:rPr>
          <w:rFonts w:ascii="Times New Roman" w:hAnsi="Times New Roman" w:cs="Times New Roman"/>
          <w:sz w:val="28"/>
        </w:rPr>
        <w:t xml:space="preserve"> – 202</w:t>
      </w:r>
      <w:r w:rsidR="00985021">
        <w:rPr>
          <w:rFonts w:ascii="Times New Roman" w:hAnsi="Times New Roman" w:cs="Times New Roman"/>
          <w:sz w:val="28"/>
        </w:rPr>
        <w:t>7</w:t>
      </w:r>
      <w:r w:rsidRPr="00607D88">
        <w:rPr>
          <w:rFonts w:ascii="Times New Roman" w:hAnsi="Times New Roman" w:cs="Times New Roman"/>
          <w:sz w:val="28"/>
        </w:rPr>
        <w:t xml:space="preserve"> годы»</w:t>
      </w:r>
      <w:r>
        <w:rPr>
          <w:rFonts w:ascii="Times New Roman" w:hAnsi="Times New Roman" w:cs="Times New Roman"/>
          <w:sz w:val="28"/>
        </w:rPr>
        <w:t>.</w:t>
      </w:r>
    </w:p>
    <w:p w:rsidR="00ED71C1" w:rsidRDefault="00981CD8" w:rsidP="00607D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Утвержденных объем финансирования, п</w:t>
      </w:r>
      <w:r w:rsidR="00985021">
        <w:rPr>
          <w:rFonts w:ascii="Times New Roman" w:hAnsi="Times New Roman" w:cs="Times New Roman"/>
          <w:sz w:val="28"/>
          <w:szCs w:val="28"/>
        </w:rPr>
        <w:t>редусмотренный Программой на 202</w:t>
      </w:r>
      <w:r w:rsidR="009D264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год, составил</w:t>
      </w:r>
      <w:r w:rsidR="00607D88">
        <w:rPr>
          <w:rFonts w:ascii="Times New Roman" w:hAnsi="Times New Roman" w:cs="Times New Roman"/>
          <w:sz w:val="28"/>
          <w:szCs w:val="28"/>
        </w:rPr>
        <w:t xml:space="preserve"> </w:t>
      </w:r>
      <w:r w:rsidR="00BE7816">
        <w:rPr>
          <w:rFonts w:ascii="Times New Roman" w:hAnsi="Times New Roman" w:cs="Times New Roman"/>
          <w:sz w:val="28"/>
          <w:szCs w:val="28"/>
        </w:rPr>
        <w:t>7194,7</w:t>
      </w:r>
      <w:r w:rsidR="00607D88">
        <w:rPr>
          <w:rFonts w:ascii="Times New Roman" w:hAnsi="Times New Roman" w:cs="Times New Roman"/>
          <w:sz w:val="28"/>
          <w:szCs w:val="28"/>
        </w:rPr>
        <w:t xml:space="preserve"> тыс. рублей,  </w:t>
      </w:r>
      <w:r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="00607D88">
        <w:rPr>
          <w:rFonts w:ascii="Times New Roman" w:hAnsi="Times New Roman" w:cs="Times New Roman"/>
          <w:sz w:val="28"/>
          <w:szCs w:val="28"/>
        </w:rPr>
        <w:t xml:space="preserve">профинансировано </w:t>
      </w:r>
      <w:r w:rsidR="00D74ECC">
        <w:rPr>
          <w:rFonts w:ascii="Times New Roman" w:hAnsi="Times New Roman" w:cs="Times New Roman"/>
          <w:sz w:val="28"/>
          <w:szCs w:val="28"/>
        </w:rPr>
        <w:t>–</w:t>
      </w:r>
      <w:r w:rsidR="00607D88">
        <w:rPr>
          <w:rFonts w:ascii="Times New Roman" w:hAnsi="Times New Roman" w:cs="Times New Roman"/>
          <w:sz w:val="28"/>
          <w:szCs w:val="28"/>
        </w:rPr>
        <w:t xml:space="preserve"> </w:t>
      </w:r>
      <w:r w:rsidR="00BE7816">
        <w:rPr>
          <w:rFonts w:ascii="Times New Roman" w:hAnsi="Times New Roman" w:cs="Times New Roman"/>
          <w:sz w:val="28"/>
          <w:szCs w:val="28"/>
        </w:rPr>
        <w:t>6359,5</w:t>
      </w:r>
      <w:r w:rsidR="00607D88" w:rsidRPr="00D74E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6C14">
        <w:rPr>
          <w:rFonts w:ascii="Times New Roman" w:hAnsi="Times New Roman" w:cs="Times New Roman"/>
          <w:sz w:val="28"/>
          <w:szCs w:val="28"/>
        </w:rPr>
        <w:t>тыс. рублей, в том числе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607D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07D88">
        <w:rPr>
          <w:rFonts w:ascii="Times New Roman" w:hAnsi="Times New Roman" w:cs="Times New Roman"/>
          <w:sz w:val="28"/>
          <w:szCs w:val="28"/>
        </w:rPr>
        <w:t>своено -</w:t>
      </w:r>
      <w:r w:rsidR="00BE7816">
        <w:rPr>
          <w:rFonts w:ascii="Times New Roman" w:hAnsi="Times New Roman" w:cs="Times New Roman"/>
          <w:sz w:val="28"/>
          <w:szCs w:val="28"/>
        </w:rPr>
        <w:t>6359,5</w:t>
      </w:r>
      <w:r w:rsidR="00433D02" w:rsidRPr="00433D02">
        <w:rPr>
          <w:rFonts w:ascii="Times New Roman" w:hAnsi="Times New Roman" w:cs="Times New Roman"/>
          <w:sz w:val="28"/>
          <w:szCs w:val="28"/>
        </w:rPr>
        <w:t xml:space="preserve"> </w:t>
      </w:r>
      <w:r w:rsidR="00607D88">
        <w:rPr>
          <w:rFonts w:ascii="Times New Roman" w:hAnsi="Times New Roman" w:cs="Times New Roman"/>
          <w:sz w:val="28"/>
          <w:szCs w:val="28"/>
        </w:rPr>
        <w:t xml:space="preserve">тыс. рублей. </w:t>
      </w:r>
      <w:proofErr w:type="gramEnd"/>
    </w:p>
    <w:p w:rsidR="00D74ECC" w:rsidRDefault="00D74ECC" w:rsidP="00607D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71C1" w:rsidRDefault="00ED71C1" w:rsidP="00ED71C1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D71C1">
        <w:rPr>
          <w:rFonts w:ascii="Times New Roman" w:hAnsi="Times New Roman"/>
          <w:b/>
          <w:sz w:val="28"/>
          <w:szCs w:val="28"/>
        </w:rPr>
        <w:t xml:space="preserve">Подпрограмма «Благоустройство территории сельского поселения </w:t>
      </w:r>
      <w:r w:rsidR="00050257" w:rsidRPr="00050257">
        <w:rPr>
          <w:rFonts w:ascii="Times New Roman" w:hAnsi="Times New Roman"/>
          <w:b/>
          <w:sz w:val="28"/>
          <w:szCs w:val="28"/>
        </w:rPr>
        <w:t>Союз</w:t>
      </w:r>
      <w:proofErr w:type="gramStart"/>
      <w:r w:rsidR="00050257" w:rsidRPr="00050257">
        <w:rPr>
          <w:rFonts w:ascii="Times New Roman" w:hAnsi="Times New Roman"/>
          <w:b/>
          <w:sz w:val="28"/>
          <w:szCs w:val="28"/>
        </w:rPr>
        <w:t xml:space="preserve"> Ч</w:t>
      </w:r>
      <w:proofErr w:type="gramEnd"/>
      <w:r w:rsidR="00050257" w:rsidRPr="00050257">
        <w:rPr>
          <w:rFonts w:ascii="Times New Roman" w:hAnsi="Times New Roman"/>
          <w:b/>
          <w:sz w:val="28"/>
          <w:szCs w:val="28"/>
        </w:rPr>
        <w:t>етырех Хуторов</w:t>
      </w:r>
      <w:r w:rsidRPr="00ED71C1">
        <w:rPr>
          <w:rFonts w:ascii="Times New Roman" w:hAnsi="Times New Roman"/>
          <w:b/>
          <w:sz w:val="28"/>
          <w:szCs w:val="28"/>
        </w:rPr>
        <w:t xml:space="preserve"> Гуль</w:t>
      </w:r>
      <w:r w:rsidR="00985021">
        <w:rPr>
          <w:rFonts w:ascii="Times New Roman" w:hAnsi="Times New Roman"/>
          <w:b/>
          <w:sz w:val="28"/>
          <w:szCs w:val="28"/>
        </w:rPr>
        <w:t>кевичского района» на 2022</w:t>
      </w:r>
      <w:r w:rsidR="00433D02">
        <w:rPr>
          <w:rFonts w:ascii="Times New Roman" w:hAnsi="Times New Roman"/>
          <w:b/>
          <w:sz w:val="28"/>
          <w:szCs w:val="28"/>
        </w:rPr>
        <w:t xml:space="preserve"> – 202</w:t>
      </w:r>
      <w:r w:rsidR="00985021">
        <w:rPr>
          <w:rFonts w:ascii="Times New Roman" w:hAnsi="Times New Roman"/>
          <w:b/>
          <w:sz w:val="28"/>
          <w:szCs w:val="28"/>
        </w:rPr>
        <w:t>7</w:t>
      </w:r>
      <w:r w:rsidRPr="00ED71C1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ED71C1" w:rsidRDefault="00ED71C1" w:rsidP="00ED71C1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ED71C1" w:rsidRDefault="00ED71C1" w:rsidP="00ED71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Подпрограммы были выполнены следующие мероприятия:</w:t>
      </w:r>
    </w:p>
    <w:p w:rsidR="00B96C14" w:rsidRDefault="00B96C14" w:rsidP="00D74E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Pr="00B96C14">
        <w:rPr>
          <w:rFonts w:ascii="Times New Roman" w:hAnsi="Times New Roman" w:cs="Times New Roman"/>
          <w:sz w:val="28"/>
          <w:szCs w:val="28"/>
        </w:rPr>
        <w:t xml:space="preserve">ероприятия по устойчивому развитию территории поселения Гулькевичского района </w:t>
      </w:r>
    </w:p>
    <w:p w:rsidR="00745108" w:rsidRPr="00D74ECC" w:rsidRDefault="00ED71C1" w:rsidP="00D74E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прочие мероприятия по благоустройству территории;</w:t>
      </w:r>
    </w:p>
    <w:p w:rsidR="00ED71C1" w:rsidRDefault="00ED71C1" w:rsidP="00ED71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реализации подпрограммы проводились работы по организации уличного освещения (оплата поставки электроэнергии, текущий ремонт и обслуживание линий наружного освещения), по разбивки клумб, наведению санитарного </w:t>
      </w:r>
      <w:r w:rsidR="00353B89">
        <w:rPr>
          <w:rFonts w:ascii="Times New Roman" w:hAnsi="Times New Roman" w:cs="Times New Roman"/>
          <w:sz w:val="28"/>
          <w:szCs w:val="28"/>
        </w:rPr>
        <w:t xml:space="preserve">порядка на территории поселения, </w:t>
      </w:r>
      <w:r w:rsidR="00BE7816">
        <w:rPr>
          <w:rFonts w:ascii="Times New Roman" w:hAnsi="Times New Roman" w:cs="Times New Roman"/>
          <w:sz w:val="28"/>
          <w:szCs w:val="28"/>
        </w:rPr>
        <w:t>разработ</w:t>
      </w:r>
      <w:r w:rsidR="006C733C">
        <w:rPr>
          <w:rFonts w:ascii="Times New Roman" w:hAnsi="Times New Roman" w:cs="Times New Roman"/>
          <w:sz w:val="28"/>
          <w:szCs w:val="28"/>
        </w:rPr>
        <w:t xml:space="preserve">ана </w:t>
      </w:r>
      <w:r w:rsidR="00BE7816">
        <w:rPr>
          <w:rFonts w:ascii="Times New Roman" w:hAnsi="Times New Roman" w:cs="Times New Roman"/>
          <w:sz w:val="28"/>
          <w:szCs w:val="28"/>
        </w:rPr>
        <w:t xml:space="preserve">системы учета захоронений, </w:t>
      </w:r>
      <w:r w:rsidR="006C733C">
        <w:rPr>
          <w:rFonts w:ascii="Times New Roman" w:hAnsi="Times New Roman" w:cs="Times New Roman"/>
          <w:sz w:val="28"/>
          <w:szCs w:val="28"/>
        </w:rPr>
        <w:t xml:space="preserve">проведена работа по </w:t>
      </w:r>
      <w:r w:rsidR="00BE7816">
        <w:rPr>
          <w:rFonts w:ascii="Times New Roman" w:hAnsi="Times New Roman" w:cs="Times New Roman"/>
          <w:sz w:val="28"/>
          <w:szCs w:val="28"/>
        </w:rPr>
        <w:t>постановк</w:t>
      </w:r>
      <w:r w:rsidR="006C733C">
        <w:rPr>
          <w:rFonts w:ascii="Times New Roman" w:hAnsi="Times New Roman" w:cs="Times New Roman"/>
          <w:sz w:val="28"/>
          <w:szCs w:val="28"/>
        </w:rPr>
        <w:t>е</w:t>
      </w:r>
      <w:r w:rsidR="00BE7816">
        <w:rPr>
          <w:rFonts w:ascii="Times New Roman" w:hAnsi="Times New Roman" w:cs="Times New Roman"/>
          <w:sz w:val="28"/>
          <w:szCs w:val="28"/>
        </w:rPr>
        <w:t xml:space="preserve"> на кадастровый учет земельного участка, разрабо</w:t>
      </w:r>
      <w:r w:rsidR="006C733C">
        <w:rPr>
          <w:rFonts w:ascii="Times New Roman" w:hAnsi="Times New Roman" w:cs="Times New Roman"/>
          <w:sz w:val="28"/>
          <w:szCs w:val="28"/>
        </w:rPr>
        <w:t>тан</w:t>
      </w:r>
      <w:r w:rsidR="00BE7816">
        <w:rPr>
          <w:rFonts w:ascii="Times New Roman" w:hAnsi="Times New Roman" w:cs="Times New Roman"/>
          <w:sz w:val="28"/>
          <w:szCs w:val="28"/>
        </w:rPr>
        <w:t xml:space="preserve"> дизайн проекта «Благоустройство Аллея 35 лет Победы»</w:t>
      </w:r>
      <w:r w:rsidR="006C733C">
        <w:rPr>
          <w:rFonts w:ascii="Times New Roman" w:hAnsi="Times New Roman" w:cs="Times New Roman"/>
          <w:sz w:val="28"/>
          <w:szCs w:val="28"/>
        </w:rPr>
        <w:t>, проведена работа по благоустройству многофункциональной спортивной площадке</w:t>
      </w:r>
      <w:r w:rsidR="00985021">
        <w:rPr>
          <w:rFonts w:ascii="Times New Roman" w:hAnsi="Times New Roman" w:cs="Times New Roman"/>
          <w:sz w:val="28"/>
          <w:szCs w:val="28"/>
        </w:rPr>
        <w:t xml:space="preserve"> </w:t>
      </w:r>
      <w:r w:rsidR="00C26593">
        <w:rPr>
          <w:rFonts w:ascii="Times New Roman" w:hAnsi="Times New Roman" w:cs="Times New Roman"/>
          <w:sz w:val="28"/>
          <w:szCs w:val="28"/>
        </w:rPr>
        <w:t>Уровень эффективности Подпрограммы составляет</w:t>
      </w:r>
      <w:proofErr w:type="gramEnd"/>
      <w:r w:rsidR="00C26593">
        <w:rPr>
          <w:rFonts w:ascii="Times New Roman" w:hAnsi="Times New Roman" w:cs="Times New Roman"/>
          <w:sz w:val="28"/>
          <w:szCs w:val="28"/>
        </w:rPr>
        <w:t xml:space="preserve"> </w:t>
      </w:r>
      <w:r w:rsidR="00F127FD">
        <w:rPr>
          <w:rFonts w:ascii="Times New Roman" w:hAnsi="Times New Roman" w:cs="Times New Roman"/>
          <w:sz w:val="28"/>
          <w:szCs w:val="28"/>
        </w:rPr>
        <w:t>1,0</w:t>
      </w:r>
      <w:r w:rsidR="00C26593">
        <w:rPr>
          <w:rFonts w:ascii="Times New Roman" w:hAnsi="Times New Roman" w:cs="Times New Roman"/>
          <w:sz w:val="28"/>
          <w:szCs w:val="28"/>
        </w:rPr>
        <w:t xml:space="preserve"> балла и соответственно признается </w:t>
      </w:r>
      <w:r w:rsidR="00F127FD">
        <w:rPr>
          <w:rFonts w:ascii="Times New Roman" w:hAnsi="Times New Roman" w:cs="Times New Roman"/>
          <w:sz w:val="28"/>
          <w:szCs w:val="28"/>
        </w:rPr>
        <w:t>высокой</w:t>
      </w:r>
      <w:r w:rsidR="00F42585">
        <w:rPr>
          <w:rFonts w:ascii="Times New Roman" w:hAnsi="Times New Roman" w:cs="Times New Roman"/>
          <w:sz w:val="28"/>
          <w:szCs w:val="28"/>
        </w:rPr>
        <w:t>.</w:t>
      </w:r>
    </w:p>
    <w:p w:rsidR="00C26593" w:rsidRDefault="00C26593" w:rsidP="00ED71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53B89" w:rsidRDefault="00353B89" w:rsidP="00ED71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53B89" w:rsidRPr="00ED71C1" w:rsidRDefault="00353B89" w:rsidP="00353B89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Подпрограмма</w:t>
      </w:r>
      <w:r w:rsidRPr="00353B89">
        <w:rPr>
          <w:rFonts w:ascii="Times New Roman" w:hAnsi="Times New Roman"/>
          <w:b/>
          <w:sz w:val="28"/>
          <w:szCs w:val="28"/>
        </w:rPr>
        <w:t xml:space="preserve"> «Капитальный ремонт и ремонт автомобильных дорог местного значения сельского поселения </w:t>
      </w:r>
      <w:r w:rsidR="00050257" w:rsidRPr="00050257">
        <w:rPr>
          <w:rFonts w:ascii="Times New Roman" w:hAnsi="Times New Roman"/>
          <w:b/>
          <w:sz w:val="28"/>
          <w:szCs w:val="28"/>
        </w:rPr>
        <w:t>Союз</w:t>
      </w:r>
      <w:proofErr w:type="gramStart"/>
      <w:r w:rsidR="00050257" w:rsidRPr="00050257">
        <w:rPr>
          <w:rFonts w:ascii="Times New Roman" w:hAnsi="Times New Roman"/>
          <w:b/>
          <w:sz w:val="28"/>
          <w:szCs w:val="28"/>
        </w:rPr>
        <w:t xml:space="preserve"> Ч</w:t>
      </w:r>
      <w:proofErr w:type="gramEnd"/>
      <w:r w:rsidR="00050257" w:rsidRPr="00050257">
        <w:rPr>
          <w:rFonts w:ascii="Times New Roman" w:hAnsi="Times New Roman"/>
          <w:b/>
          <w:sz w:val="28"/>
          <w:szCs w:val="28"/>
        </w:rPr>
        <w:t>етырех Хуторов</w:t>
      </w:r>
      <w:r w:rsidRPr="00353B89">
        <w:rPr>
          <w:rFonts w:ascii="Times New Roman" w:hAnsi="Times New Roman"/>
          <w:b/>
          <w:sz w:val="28"/>
          <w:szCs w:val="28"/>
        </w:rPr>
        <w:t xml:space="preserve"> Гуль</w:t>
      </w:r>
      <w:r w:rsidR="00985021">
        <w:rPr>
          <w:rFonts w:ascii="Times New Roman" w:hAnsi="Times New Roman"/>
          <w:b/>
          <w:sz w:val="28"/>
          <w:szCs w:val="28"/>
        </w:rPr>
        <w:t>кевичского района» на 2022</w:t>
      </w:r>
      <w:r w:rsidR="00433D02">
        <w:rPr>
          <w:rFonts w:ascii="Times New Roman" w:hAnsi="Times New Roman"/>
          <w:b/>
          <w:sz w:val="28"/>
          <w:szCs w:val="28"/>
        </w:rPr>
        <w:t xml:space="preserve"> – 202</w:t>
      </w:r>
      <w:r w:rsidR="00985021">
        <w:rPr>
          <w:rFonts w:ascii="Times New Roman" w:hAnsi="Times New Roman"/>
          <w:b/>
          <w:sz w:val="28"/>
          <w:szCs w:val="28"/>
        </w:rPr>
        <w:t>7</w:t>
      </w:r>
      <w:r w:rsidRPr="00353B89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ED71C1" w:rsidRPr="00ED71C1" w:rsidRDefault="00ED71C1" w:rsidP="00ED71C1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353B89" w:rsidRDefault="00353B89" w:rsidP="00353B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3B89">
        <w:rPr>
          <w:rFonts w:ascii="Times New Roman" w:hAnsi="Times New Roman" w:cs="Times New Roman"/>
          <w:sz w:val="28"/>
          <w:szCs w:val="28"/>
        </w:rPr>
        <w:t xml:space="preserve">При реализации Подпрограммы </w:t>
      </w:r>
      <w:r w:rsidRPr="00353B89">
        <w:rPr>
          <w:rFonts w:ascii="Times New Roman" w:hAnsi="Times New Roman" w:cs="Times New Roman"/>
          <w:sz w:val="28"/>
          <w:szCs w:val="28"/>
          <w:shd w:val="clear" w:color="auto" w:fill="FFFFFF"/>
        </w:rPr>
        <w:t>был</w:t>
      </w:r>
      <w:r w:rsidR="00433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Pr="00353B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проведен</w:t>
      </w:r>
      <w:r w:rsidR="00433D02">
        <w:rPr>
          <w:rFonts w:ascii="Times New Roman" w:hAnsi="Times New Roman" w:cs="Times New Roman"/>
          <w:sz w:val="28"/>
          <w:szCs w:val="28"/>
          <w:shd w:val="clear" w:color="auto" w:fill="FFFFFF"/>
        </w:rPr>
        <w:t>ы следующие работы:</w:t>
      </w:r>
      <w:r w:rsidRPr="00353B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33D02">
        <w:rPr>
          <w:rFonts w:ascii="Times New Roman" w:hAnsi="Times New Roman" w:cs="Times New Roman"/>
          <w:sz w:val="28"/>
          <w:szCs w:val="28"/>
          <w:shd w:val="clear" w:color="auto" w:fill="FFFFFF"/>
        </w:rPr>
        <w:t>сметная документация на ремонт дорог в сельском поселении Союз</w:t>
      </w:r>
      <w:proofErr w:type="gramStart"/>
      <w:r w:rsidR="00433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</w:t>
      </w:r>
      <w:proofErr w:type="gramEnd"/>
      <w:r w:rsidR="00433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етырех Хуторов Гулькевичского района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7816">
        <w:rPr>
          <w:rFonts w:ascii="Times New Roman" w:hAnsi="Times New Roman" w:cs="Times New Roman"/>
          <w:sz w:val="28"/>
          <w:szCs w:val="28"/>
        </w:rPr>
        <w:t>оказана услуга по нанесению дорожной разметки</w:t>
      </w:r>
    </w:p>
    <w:p w:rsidR="00087235" w:rsidRPr="00734380" w:rsidRDefault="00087235" w:rsidP="00C2659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 xml:space="preserve">Информация о </w:t>
      </w:r>
      <w:r w:rsidRPr="00170A8C">
        <w:rPr>
          <w:rFonts w:ascii="Times New Roman" w:eastAsia="Calibri" w:hAnsi="Times New Roman" w:cs="Times New Roman"/>
          <w:sz w:val="28"/>
          <w:szCs w:val="28"/>
        </w:rPr>
        <w:t>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муниципальную программу, и основных мероприятий в разрезе источников финансирования и главных распорядителей средств местного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бюджета, 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о фактическом выполнении мероприятий подпрограмм, ведомственных целевых программ, включенных в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программу, и основных мероприятий с указанием причин их невыпо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лнения или неполного выполнения, </w:t>
      </w:r>
      <w:r w:rsidRPr="00734380">
        <w:rPr>
          <w:rFonts w:ascii="Times New Roman" w:eastAsia="Calibri" w:hAnsi="Times New Roman" w:cs="Times New Roman"/>
          <w:sz w:val="28"/>
          <w:szCs w:val="28"/>
        </w:rPr>
        <w:t>о соответствии фактически</w:t>
      </w:r>
      <w:proofErr w:type="gramEnd"/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достигнутых целевых показателей реализации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программы и входящих в ее состав подпрограмм, ведомственных целевых программ и основных мероприятий плановым показателям, установленным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программой, а также </w:t>
      </w:r>
      <w:r w:rsidRPr="00734380">
        <w:rPr>
          <w:rFonts w:ascii="Times New Roman" w:eastAsia="Calibri" w:hAnsi="Times New Roman" w:cs="Times New Roman"/>
          <w:sz w:val="28"/>
          <w:szCs w:val="28"/>
        </w:rPr>
        <w:t>оценк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эффективности реализации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 программы  приведена в прилагаемых к докладу отчетах.</w:t>
      </w: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2937B8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Главный</w:t>
      </w:r>
      <w:r w:rsidR="00050257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специалист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proofErr w:type="spellStart"/>
      <w:r w:rsidR="00050257">
        <w:rPr>
          <w:rFonts w:ascii="Times New Roman" w:eastAsia="Arial" w:hAnsi="Times New Roman" w:cs="Times New Roman"/>
          <w:sz w:val="28"/>
          <w:szCs w:val="28"/>
          <w:lang w:eastAsia="ar-SA"/>
        </w:rPr>
        <w:t>Н.М.Сироткина</w:t>
      </w:r>
      <w:proofErr w:type="spellEnd"/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A94068" w:rsidRDefault="00A94068" w:rsidP="0008723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  <w:sectPr w:rsidR="00A94068" w:rsidSect="00607D8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87235" w:rsidRDefault="00087235" w:rsidP="005433DC">
      <w:pPr>
        <w:spacing w:after="0" w:line="240" w:lineRule="auto"/>
        <w:ind w:firstLine="851"/>
        <w:jc w:val="center"/>
        <w:rPr>
          <w:rFonts w:ascii="Times New Roman" w:hAnsi="Times New Roman"/>
          <w:sz w:val="28"/>
        </w:rPr>
      </w:pPr>
      <w:r w:rsidRPr="0008723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Оценка эффективности реализации муниципальной программы </w:t>
      </w:r>
      <w:r w:rsidRPr="00087235">
        <w:rPr>
          <w:rFonts w:ascii="Times New Roman" w:hAnsi="Times New Roman"/>
          <w:b/>
          <w:sz w:val="28"/>
        </w:rPr>
        <w:t>«</w:t>
      </w:r>
      <w:r w:rsidRPr="00087235">
        <w:rPr>
          <w:rFonts w:ascii="Times New Roman" w:hAnsi="Times New Roman"/>
          <w:b/>
          <w:sz w:val="28"/>
          <w:szCs w:val="28"/>
        </w:rPr>
        <w:t xml:space="preserve">Комплексное развитие сельского поселения </w:t>
      </w:r>
      <w:r w:rsidR="00050257" w:rsidRPr="00050257">
        <w:rPr>
          <w:rFonts w:ascii="Times New Roman" w:hAnsi="Times New Roman"/>
          <w:b/>
          <w:sz w:val="28"/>
          <w:szCs w:val="28"/>
        </w:rPr>
        <w:t>Союз</w:t>
      </w:r>
      <w:proofErr w:type="gramStart"/>
      <w:r w:rsidR="00050257" w:rsidRPr="00050257">
        <w:rPr>
          <w:rFonts w:ascii="Times New Roman" w:hAnsi="Times New Roman"/>
          <w:b/>
          <w:sz w:val="28"/>
          <w:szCs w:val="28"/>
        </w:rPr>
        <w:t xml:space="preserve"> Ч</w:t>
      </w:r>
      <w:proofErr w:type="gramEnd"/>
      <w:r w:rsidR="00050257" w:rsidRPr="00050257">
        <w:rPr>
          <w:rFonts w:ascii="Times New Roman" w:hAnsi="Times New Roman"/>
          <w:b/>
          <w:sz w:val="28"/>
          <w:szCs w:val="28"/>
        </w:rPr>
        <w:t>етырех Хуторов</w:t>
      </w:r>
      <w:r w:rsidRPr="00087235">
        <w:rPr>
          <w:rFonts w:ascii="Times New Roman" w:hAnsi="Times New Roman"/>
          <w:b/>
          <w:sz w:val="28"/>
          <w:szCs w:val="28"/>
        </w:rPr>
        <w:t xml:space="preserve"> Гулькевичского района в сфере экономики и жилищно-коммунального хозяйства</w:t>
      </w:r>
      <w:r w:rsidR="002C1858">
        <w:rPr>
          <w:rFonts w:ascii="Times New Roman" w:hAnsi="Times New Roman"/>
          <w:b/>
          <w:sz w:val="28"/>
        </w:rPr>
        <w:t>» на 2022</w:t>
      </w:r>
      <w:r w:rsidR="00F42585">
        <w:rPr>
          <w:rFonts w:ascii="Times New Roman" w:hAnsi="Times New Roman"/>
          <w:b/>
          <w:sz w:val="28"/>
        </w:rPr>
        <w:t xml:space="preserve"> – 202</w:t>
      </w:r>
      <w:r w:rsidR="002C1858">
        <w:rPr>
          <w:rFonts w:ascii="Times New Roman" w:hAnsi="Times New Roman"/>
          <w:b/>
          <w:sz w:val="28"/>
        </w:rPr>
        <w:t>7</w:t>
      </w:r>
      <w:bookmarkStart w:id="0" w:name="_GoBack"/>
      <w:bookmarkEnd w:id="0"/>
      <w:r w:rsidRPr="00087235">
        <w:rPr>
          <w:rFonts w:ascii="Times New Roman" w:hAnsi="Times New Roman"/>
          <w:b/>
          <w:sz w:val="28"/>
        </w:rPr>
        <w:t xml:space="preserve"> годы»</w:t>
      </w:r>
    </w:p>
    <w:tbl>
      <w:tblPr>
        <w:tblStyle w:val="a3"/>
        <w:tblW w:w="14991" w:type="dxa"/>
        <w:tblLayout w:type="fixed"/>
        <w:tblLook w:val="04A0" w:firstRow="1" w:lastRow="0" w:firstColumn="1" w:lastColumn="0" w:noHBand="0" w:noVBand="1"/>
      </w:tblPr>
      <w:tblGrid>
        <w:gridCol w:w="2660"/>
        <w:gridCol w:w="987"/>
        <w:gridCol w:w="1180"/>
        <w:gridCol w:w="900"/>
        <w:gridCol w:w="1044"/>
        <w:gridCol w:w="992"/>
        <w:gridCol w:w="992"/>
        <w:gridCol w:w="1276"/>
        <w:gridCol w:w="1276"/>
        <w:gridCol w:w="1134"/>
        <w:gridCol w:w="1275"/>
        <w:gridCol w:w="1275"/>
      </w:tblGrid>
      <w:tr w:rsidR="00A96BA7" w:rsidTr="00BA6EDE">
        <w:tc>
          <w:tcPr>
            <w:tcW w:w="2660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3067" w:type="dxa"/>
            <w:gridSpan w:val="3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>Оценка степени реализации мероприятий</w:t>
            </w:r>
          </w:p>
        </w:tc>
        <w:tc>
          <w:tcPr>
            <w:tcW w:w="3028" w:type="dxa"/>
            <w:gridSpan w:val="3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>Оценка степени соответствия запланированному уровню расходов</w:t>
            </w:r>
          </w:p>
        </w:tc>
        <w:tc>
          <w:tcPr>
            <w:tcW w:w="1276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proofErr w:type="gramStart"/>
            <w:r w:rsidRPr="004F7A78">
              <w:rPr>
                <w:rFonts w:ascii="Times New Roman" w:hAnsi="Times New Roman"/>
                <w:sz w:val="20"/>
                <w:szCs w:val="20"/>
              </w:rPr>
              <w:t>эффектив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7A78">
              <w:rPr>
                <w:rFonts w:ascii="Times New Roman" w:hAnsi="Times New Roman"/>
                <w:sz w:val="20"/>
                <w:szCs w:val="20"/>
              </w:rPr>
              <w:t>использо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вания</w:t>
            </w:r>
            <w:proofErr w:type="spell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средств бюджета</w:t>
            </w:r>
            <w:r>
              <w:rPr>
                <w:rFonts w:ascii="Times New Roman" w:hAnsi="Times New Roman"/>
                <w:sz w:val="20"/>
                <w:szCs w:val="20"/>
              </w:rPr>
              <w:t>, баллы</w:t>
            </w:r>
          </w:p>
        </w:tc>
        <w:tc>
          <w:tcPr>
            <w:tcW w:w="1276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тепень достижения целей и решения задач</w:t>
            </w:r>
            <w:r>
              <w:rPr>
                <w:rFonts w:ascii="Times New Roman" w:hAnsi="Times New Roman"/>
                <w:sz w:val="20"/>
                <w:szCs w:val="20"/>
              </w:rPr>
              <w:t>, баллы</w:t>
            </w:r>
          </w:p>
        </w:tc>
        <w:tc>
          <w:tcPr>
            <w:tcW w:w="1134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proofErr w:type="spellStart"/>
            <w:proofErr w:type="gramStart"/>
            <w:r w:rsidRPr="004F7A78">
              <w:rPr>
                <w:rFonts w:ascii="Times New Roman" w:hAnsi="Times New Roman"/>
                <w:sz w:val="20"/>
                <w:szCs w:val="20"/>
              </w:rPr>
              <w:t>эффектив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реализации программы, баллы</w:t>
            </w:r>
          </w:p>
        </w:tc>
        <w:tc>
          <w:tcPr>
            <w:tcW w:w="1275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 xml:space="preserve">Уровень </w:t>
            </w:r>
            <w:proofErr w:type="spellStart"/>
            <w:proofErr w:type="gramStart"/>
            <w:r w:rsidRPr="004F7A78">
              <w:rPr>
                <w:rFonts w:ascii="Times New Roman" w:hAnsi="Times New Roman"/>
                <w:sz w:val="20"/>
                <w:szCs w:val="20"/>
              </w:rPr>
              <w:t>эффектив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реализации программы (&gt;=0,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-высокий; от 0,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до 0,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средний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A96BA7" w:rsidRPr="004F7A78" w:rsidRDefault="00A96BA7" w:rsidP="00286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0,7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 0,8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удовл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.; ниже 0,7 -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7A78">
              <w:rPr>
                <w:rFonts w:ascii="Times New Roman" w:hAnsi="Times New Roman"/>
                <w:sz w:val="20"/>
                <w:szCs w:val="20"/>
              </w:rPr>
              <w:t>неудовл</w:t>
            </w:r>
            <w:proofErr w:type="spellEnd"/>
            <w:r w:rsidRPr="004F7A78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5" w:type="dxa"/>
            <w:vMerge w:val="restart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Коэффи-циент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значимости подпрограммы</w:t>
            </w:r>
          </w:p>
        </w:tc>
      </w:tr>
      <w:tr w:rsidR="00A96BA7" w:rsidTr="00BA6EDE">
        <w:tc>
          <w:tcPr>
            <w:tcW w:w="2660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/>
                <w:sz w:val="20"/>
                <w:szCs w:val="20"/>
              </w:rPr>
              <w:t xml:space="preserve">общее </w:t>
            </w:r>
            <w:proofErr w:type="gramStart"/>
            <w:r w:rsidRPr="0028694C">
              <w:rPr>
                <w:rFonts w:ascii="Times New Roman" w:hAnsi="Times New Roman"/>
                <w:sz w:val="20"/>
                <w:szCs w:val="20"/>
              </w:rPr>
              <w:t>коли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чество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мероприя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тий</w:t>
            </w:r>
            <w:proofErr w:type="spellEnd"/>
          </w:p>
        </w:tc>
        <w:tc>
          <w:tcPr>
            <w:tcW w:w="1180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proofErr w:type="spellStart"/>
            <w:proofErr w:type="gramStart"/>
            <w:r w:rsidRPr="0028694C">
              <w:rPr>
                <w:rFonts w:ascii="Times New Roman" w:hAnsi="Times New Roman"/>
                <w:sz w:val="20"/>
                <w:szCs w:val="20"/>
              </w:rPr>
              <w:t>мероприя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тий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>, выполнен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в полном объеме</w:t>
            </w:r>
          </w:p>
        </w:tc>
        <w:tc>
          <w:tcPr>
            <w:tcW w:w="900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баллы</w:t>
            </w:r>
          </w:p>
        </w:tc>
        <w:tc>
          <w:tcPr>
            <w:tcW w:w="1044" w:type="dxa"/>
            <w:vAlign w:val="center"/>
          </w:tcPr>
          <w:p w:rsidR="00A96BA7" w:rsidRPr="0028694C" w:rsidRDefault="00A96BA7" w:rsidP="00344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акти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ческие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расходы на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реали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зацию</w:t>
            </w:r>
            <w:proofErr w:type="spell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подпро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граммы</w:t>
            </w:r>
            <w:r>
              <w:rPr>
                <w:rFonts w:ascii="Times New Roman" w:hAnsi="Times New Roman"/>
                <w:sz w:val="20"/>
                <w:szCs w:val="20"/>
              </w:rPr>
              <w:t>, тыс. руб.</w:t>
            </w:r>
          </w:p>
        </w:tc>
        <w:tc>
          <w:tcPr>
            <w:tcW w:w="992" w:type="dxa"/>
            <w:vAlign w:val="center"/>
          </w:tcPr>
          <w:p w:rsidR="00A96BA7" w:rsidRPr="0028694C" w:rsidRDefault="00A96BA7" w:rsidP="00344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 xml:space="preserve">бъемы </w:t>
            </w:r>
            <w:proofErr w:type="spellStart"/>
            <w:proofErr w:type="gramStart"/>
            <w:r w:rsidRPr="0028694C">
              <w:rPr>
                <w:rFonts w:ascii="Times New Roman" w:hAnsi="Times New Roman"/>
                <w:sz w:val="20"/>
                <w:szCs w:val="20"/>
              </w:rPr>
              <w:t>бюдже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тных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ассигно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ваний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тыс. руб.</w:t>
            </w:r>
          </w:p>
        </w:tc>
        <w:tc>
          <w:tcPr>
            <w:tcW w:w="992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 w:cs="Times New Roman"/>
                <w:sz w:val="20"/>
                <w:szCs w:val="20"/>
              </w:rPr>
              <w:t>Оценка, баллы</w:t>
            </w:r>
          </w:p>
        </w:tc>
        <w:tc>
          <w:tcPr>
            <w:tcW w:w="1276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BA7" w:rsidTr="00BA6EDE">
        <w:tc>
          <w:tcPr>
            <w:tcW w:w="2660" w:type="dxa"/>
          </w:tcPr>
          <w:p w:rsidR="00A96BA7" w:rsidRPr="0057225A" w:rsidRDefault="00A96BA7" w:rsidP="00293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25A">
              <w:rPr>
                <w:rFonts w:ascii="Times New Roman" w:hAnsi="Times New Roman"/>
                <w:sz w:val="24"/>
                <w:szCs w:val="24"/>
              </w:rPr>
              <w:t xml:space="preserve">«Благоустройство территории сельского поселения </w:t>
            </w:r>
            <w:r w:rsidR="00050257" w:rsidRPr="00050257">
              <w:rPr>
                <w:rFonts w:ascii="Times New Roman" w:hAnsi="Times New Roman"/>
                <w:sz w:val="24"/>
                <w:szCs w:val="24"/>
              </w:rPr>
              <w:t>Союз</w:t>
            </w:r>
            <w:proofErr w:type="gramStart"/>
            <w:r w:rsidR="00050257" w:rsidRPr="00050257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proofErr w:type="gramEnd"/>
            <w:r w:rsidR="00050257" w:rsidRPr="00050257">
              <w:rPr>
                <w:rFonts w:ascii="Times New Roman" w:hAnsi="Times New Roman"/>
                <w:sz w:val="24"/>
                <w:szCs w:val="24"/>
              </w:rPr>
              <w:t>етырех Хуторов</w:t>
            </w:r>
            <w:r w:rsidRPr="0057225A">
              <w:rPr>
                <w:rFonts w:ascii="Times New Roman" w:hAnsi="Times New Roman"/>
                <w:sz w:val="24"/>
                <w:szCs w:val="24"/>
              </w:rPr>
              <w:t xml:space="preserve"> Гуль</w:t>
            </w:r>
            <w:r w:rsidR="002937B8">
              <w:rPr>
                <w:rFonts w:ascii="Times New Roman" w:hAnsi="Times New Roman"/>
                <w:sz w:val="24"/>
                <w:szCs w:val="24"/>
              </w:rPr>
              <w:t>кевичского района» на 2022</w:t>
            </w:r>
            <w:r w:rsidR="00F42585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2937B8">
              <w:rPr>
                <w:rFonts w:ascii="Times New Roman" w:hAnsi="Times New Roman"/>
                <w:sz w:val="24"/>
                <w:szCs w:val="24"/>
              </w:rPr>
              <w:t>7</w:t>
            </w:r>
            <w:r w:rsidRPr="0057225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987" w:type="dxa"/>
          </w:tcPr>
          <w:p w:rsidR="00A96BA7" w:rsidRPr="0028694C" w:rsidRDefault="006C733C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0" w:type="dxa"/>
          </w:tcPr>
          <w:p w:rsidR="00A96BA7" w:rsidRPr="0028694C" w:rsidRDefault="006C733C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A96BA7" w:rsidRPr="0028694C" w:rsidRDefault="00A96BA7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44" w:type="dxa"/>
          </w:tcPr>
          <w:p w:rsidR="00A96BA7" w:rsidRPr="0028694C" w:rsidRDefault="006C733C" w:rsidP="00985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5066,0</w:t>
            </w:r>
          </w:p>
        </w:tc>
        <w:tc>
          <w:tcPr>
            <w:tcW w:w="992" w:type="dxa"/>
          </w:tcPr>
          <w:p w:rsidR="00A96BA7" w:rsidRPr="0028694C" w:rsidRDefault="006C733C" w:rsidP="00985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5066,0</w:t>
            </w:r>
          </w:p>
        </w:tc>
        <w:tc>
          <w:tcPr>
            <w:tcW w:w="992" w:type="dxa"/>
          </w:tcPr>
          <w:p w:rsidR="00A96BA7" w:rsidRPr="0028694C" w:rsidRDefault="00050257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A96BA7" w:rsidRPr="0028694C" w:rsidRDefault="00050257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A96BA7" w:rsidRPr="0028694C" w:rsidRDefault="00A96BA7" w:rsidP="00907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A96BA7" w:rsidRPr="0028694C" w:rsidRDefault="00050257" w:rsidP="00907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A96BA7" w:rsidRPr="0028694C" w:rsidRDefault="00A96BA7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5" w:type="dxa"/>
          </w:tcPr>
          <w:p w:rsidR="00A96BA7" w:rsidRDefault="00BA6EDE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96BA7" w:rsidTr="00BA6EDE">
        <w:tc>
          <w:tcPr>
            <w:tcW w:w="2660" w:type="dxa"/>
          </w:tcPr>
          <w:p w:rsidR="00A96BA7" w:rsidRPr="0057225A" w:rsidRDefault="00A96BA7" w:rsidP="00293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25A">
              <w:rPr>
                <w:rFonts w:ascii="Times New Roman" w:hAnsi="Times New Roman"/>
                <w:sz w:val="24"/>
                <w:szCs w:val="24"/>
              </w:rPr>
              <w:t xml:space="preserve">«Капитальный ремонт и ремонт автомобильных дорог местного значения сельского поселения </w:t>
            </w:r>
            <w:r w:rsidR="00BA6EDE" w:rsidRPr="00BA6EDE">
              <w:rPr>
                <w:rFonts w:ascii="Times New Roman" w:hAnsi="Times New Roman"/>
                <w:sz w:val="24"/>
                <w:szCs w:val="24"/>
              </w:rPr>
              <w:t>Союз</w:t>
            </w:r>
            <w:proofErr w:type="gramStart"/>
            <w:r w:rsidR="00BA6EDE" w:rsidRPr="00BA6ED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proofErr w:type="gramEnd"/>
            <w:r w:rsidR="00BA6EDE" w:rsidRPr="00BA6EDE">
              <w:rPr>
                <w:rFonts w:ascii="Times New Roman" w:hAnsi="Times New Roman"/>
                <w:sz w:val="24"/>
                <w:szCs w:val="24"/>
              </w:rPr>
              <w:t xml:space="preserve">етырех </w:t>
            </w:r>
            <w:r w:rsidR="00BA6EDE">
              <w:rPr>
                <w:rFonts w:ascii="Times New Roman" w:hAnsi="Times New Roman"/>
                <w:sz w:val="24"/>
                <w:szCs w:val="24"/>
              </w:rPr>
              <w:t>Х</w:t>
            </w:r>
            <w:r w:rsidR="00BA6EDE" w:rsidRPr="00BA6EDE">
              <w:rPr>
                <w:rFonts w:ascii="Times New Roman" w:hAnsi="Times New Roman"/>
                <w:sz w:val="24"/>
                <w:szCs w:val="24"/>
              </w:rPr>
              <w:t xml:space="preserve">уторов </w:t>
            </w:r>
            <w:r w:rsidRPr="0057225A">
              <w:rPr>
                <w:rFonts w:ascii="Times New Roman" w:hAnsi="Times New Roman"/>
                <w:sz w:val="24"/>
                <w:szCs w:val="24"/>
              </w:rPr>
              <w:t>Гуль</w:t>
            </w:r>
            <w:r w:rsidR="002937B8">
              <w:rPr>
                <w:rFonts w:ascii="Times New Roman" w:hAnsi="Times New Roman"/>
                <w:sz w:val="24"/>
                <w:szCs w:val="24"/>
              </w:rPr>
              <w:t>кевичского района» на 2022</w:t>
            </w:r>
            <w:r w:rsidR="00F42585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2937B8">
              <w:rPr>
                <w:rFonts w:ascii="Times New Roman" w:hAnsi="Times New Roman"/>
                <w:sz w:val="24"/>
                <w:szCs w:val="24"/>
              </w:rPr>
              <w:t>7</w:t>
            </w:r>
            <w:r w:rsidRPr="0057225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987" w:type="dxa"/>
          </w:tcPr>
          <w:p w:rsidR="00A96BA7" w:rsidRPr="0028694C" w:rsidRDefault="00BA6EDE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</w:tcPr>
          <w:p w:rsidR="00A96BA7" w:rsidRPr="0028694C" w:rsidRDefault="00BA6EDE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A96BA7" w:rsidRPr="0028694C" w:rsidRDefault="00A96BA7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44" w:type="dxa"/>
          </w:tcPr>
          <w:p w:rsidR="00A96BA7" w:rsidRPr="0028694C" w:rsidRDefault="006C733C" w:rsidP="006C7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1823,5</w:t>
            </w:r>
          </w:p>
        </w:tc>
        <w:tc>
          <w:tcPr>
            <w:tcW w:w="992" w:type="dxa"/>
          </w:tcPr>
          <w:p w:rsidR="00A96BA7" w:rsidRPr="0028694C" w:rsidRDefault="006C733C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2128,7</w:t>
            </w:r>
          </w:p>
        </w:tc>
        <w:tc>
          <w:tcPr>
            <w:tcW w:w="992" w:type="dxa"/>
          </w:tcPr>
          <w:p w:rsidR="00A96BA7" w:rsidRPr="0028694C" w:rsidRDefault="00FB7E56" w:rsidP="00F1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A96BA7" w:rsidRPr="0028694C" w:rsidRDefault="006C733C" w:rsidP="006C7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A96BA7" w:rsidRPr="0028694C" w:rsidRDefault="00BA6EDE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A96BA7" w:rsidRPr="0028694C" w:rsidRDefault="00265B1E" w:rsidP="006C7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C73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A96BA7" w:rsidRPr="0028694C" w:rsidRDefault="006C733C" w:rsidP="00FB7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5" w:type="dxa"/>
          </w:tcPr>
          <w:p w:rsidR="00A96BA7" w:rsidRDefault="00BA6EDE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96BA7" w:rsidTr="00BA6EDE">
        <w:tc>
          <w:tcPr>
            <w:tcW w:w="2660" w:type="dxa"/>
          </w:tcPr>
          <w:p w:rsidR="00A96BA7" w:rsidRPr="0028694C" w:rsidRDefault="00A96BA7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987" w:type="dxa"/>
          </w:tcPr>
          <w:p w:rsidR="00A96BA7" w:rsidRPr="0028694C" w:rsidRDefault="006C733C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0" w:type="dxa"/>
          </w:tcPr>
          <w:p w:rsidR="00A96BA7" w:rsidRPr="0028694C" w:rsidRDefault="006C733C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</w:tcPr>
          <w:p w:rsidR="00A96BA7" w:rsidRPr="0028694C" w:rsidRDefault="00BA6EDE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44" w:type="dxa"/>
          </w:tcPr>
          <w:p w:rsidR="00A96BA7" w:rsidRPr="0028694C" w:rsidRDefault="006C733C" w:rsidP="00543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6359,5</w:t>
            </w:r>
          </w:p>
        </w:tc>
        <w:tc>
          <w:tcPr>
            <w:tcW w:w="992" w:type="dxa"/>
          </w:tcPr>
          <w:p w:rsidR="00A96BA7" w:rsidRPr="0028694C" w:rsidRDefault="006C733C" w:rsidP="00BA6EDE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7194,7</w:t>
            </w:r>
          </w:p>
        </w:tc>
        <w:tc>
          <w:tcPr>
            <w:tcW w:w="992" w:type="dxa"/>
          </w:tcPr>
          <w:p w:rsidR="00A96BA7" w:rsidRPr="0028694C" w:rsidRDefault="006C733C" w:rsidP="0026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A96BA7" w:rsidRPr="0028694C" w:rsidRDefault="006C733C" w:rsidP="0026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A96BA7" w:rsidRPr="0028694C" w:rsidRDefault="00A96BA7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A96BA7" w:rsidRPr="0028694C" w:rsidRDefault="00265B1E" w:rsidP="006C7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C73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A96BA7" w:rsidRPr="0028694C" w:rsidRDefault="006C733C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5" w:type="dxa"/>
          </w:tcPr>
          <w:p w:rsidR="00A96BA7" w:rsidRPr="0028694C" w:rsidRDefault="00265B1E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2937B8" w:rsidRDefault="002937B8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DB5E81" w:rsidRDefault="002937B8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Главный</w:t>
      </w:r>
      <w:r w:rsidR="00BA6ED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специалист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BA6EDE">
        <w:rPr>
          <w:rFonts w:ascii="Times New Roman" w:eastAsia="Arial" w:hAnsi="Times New Roman" w:cs="Times New Roman"/>
          <w:sz w:val="28"/>
          <w:szCs w:val="28"/>
          <w:lang w:eastAsia="ar-SA"/>
        </w:rPr>
        <w:t>Н.М. Сироткина</w:t>
      </w:r>
    </w:p>
    <w:p w:rsidR="002C1858" w:rsidRDefault="002C1858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1858" w:rsidRDefault="002C1858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225A" w:rsidRDefault="0057225A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lastRenderedPageBreak/>
        <w:t xml:space="preserve">Оценка степени достижения целей и решения задач </w:t>
      </w:r>
    </w:p>
    <w:p w:rsidR="0057225A" w:rsidRDefault="0057225A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F3604">
        <w:rPr>
          <w:rFonts w:ascii="Times New Roman" w:hAnsi="Times New Roman"/>
          <w:sz w:val="28"/>
          <w:szCs w:val="28"/>
        </w:rPr>
        <w:t xml:space="preserve">подпрограммы (ведомственной целевой программы, </w:t>
      </w:r>
      <w:proofErr w:type="gramEnd"/>
    </w:p>
    <w:p w:rsidR="0057225A" w:rsidRPr="003F3604" w:rsidRDefault="0057225A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t>основного мероприятия)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4795"/>
        <w:gridCol w:w="1292"/>
        <w:gridCol w:w="1847"/>
        <w:gridCol w:w="1847"/>
        <w:gridCol w:w="1495"/>
      </w:tblGrid>
      <w:tr w:rsidR="00C74C2D" w:rsidTr="007231F6">
        <w:tc>
          <w:tcPr>
            <w:tcW w:w="3510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(ведомственной целевой программы, основного мероприятия)</w:t>
            </w:r>
          </w:p>
        </w:tc>
        <w:tc>
          <w:tcPr>
            <w:tcW w:w="4795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92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47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25A">
              <w:rPr>
                <w:rFonts w:ascii="Times New Roman" w:hAnsi="Times New Roman"/>
                <w:sz w:val="24"/>
                <w:szCs w:val="24"/>
              </w:rPr>
              <w:t>Плановое значение целевого показателя подпрограммы (ведомственной целевой программы, основного мероприятия)</w:t>
            </w:r>
          </w:p>
        </w:tc>
        <w:tc>
          <w:tcPr>
            <w:tcW w:w="1847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25A">
              <w:rPr>
                <w:rFonts w:ascii="Times New Roman" w:hAnsi="Times New Roman"/>
                <w:sz w:val="24"/>
                <w:szCs w:val="24"/>
              </w:rPr>
              <w:t>Значение целевого показателя подпрограммы (ведомственной целевой программы, основного мероприятия), фактически достигнутое на конец отчетного периода</w:t>
            </w:r>
          </w:p>
        </w:tc>
        <w:tc>
          <w:tcPr>
            <w:tcW w:w="1495" w:type="dxa"/>
          </w:tcPr>
          <w:p w:rsidR="00C74C2D" w:rsidRPr="00C74C2D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C2D">
              <w:rPr>
                <w:rFonts w:ascii="Times New Roman" w:hAnsi="Times New Roman"/>
                <w:sz w:val="24"/>
                <w:szCs w:val="24"/>
              </w:rPr>
              <w:t>Степень достижения планового значения целевого показателя</w:t>
            </w:r>
            <w:r>
              <w:rPr>
                <w:rFonts w:ascii="Times New Roman" w:hAnsi="Times New Roman"/>
                <w:sz w:val="24"/>
                <w:szCs w:val="24"/>
              </w:rPr>
              <w:t>, баллы</w:t>
            </w:r>
          </w:p>
        </w:tc>
      </w:tr>
      <w:tr w:rsidR="00C04A3D" w:rsidTr="007341D6">
        <w:trPr>
          <w:trHeight w:val="1656"/>
        </w:trPr>
        <w:tc>
          <w:tcPr>
            <w:tcW w:w="3510" w:type="dxa"/>
          </w:tcPr>
          <w:p w:rsidR="00C04A3D" w:rsidRPr="00C74C2D" w:rsidRDefault="00C04A3D" w:rsidP="00FB7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554">
              <w:rPr>
                <w:rFonts w:ascii="Times New Roman" w:hAnsi="Times New Roman"/>
                <w:sz w:val="24"/>
                <w:szCs w:val="24"/>
              </w:rPr>
              <w:t xml:space="preserve">Подпрограмма «Благоустройство территории сельского поселения </w:t>
            </w:r>
            <w:r w:rsidRPr="00BA6EDE">
              <w:rPr>
                <w:rFonts w:ascii="Times New Roman" w:hAnsi="Times New Roman"/>
                <w:sz w:val="24"/>
                <w:szCs w:val="24"/>
              </w:rPr>
              <w:t>Союз</w:t>
            </w:r>
            <w:proofErr w:type="gramStart"/>
            <w:r w:rsidRPr="00BA6ED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proofErr w:type="gramEnd"/>
            <w:r w:rsidRPr="00BA6EDE">
              <w:rPr>
                <w:rFonts w:ascii="Times New Roman" w:hAnsi="Times New Roman"/>
                <w:sz w:val="24"/>
                <w:szCs w:val="24"/>
              </w:rPr>
              <w:t>етырех Хуторов</w:t>
            </w:r>
            <w:r w:rsidRPr="00847554">
              <w:rPr>
                <w:rFonts w:ascii="Times New Roman" w:hAnsi="Times New Roman"/>
                <w:sz w:val="24"/>
                <w:szCs w:val="24"/>
              </w:rPr>
              <w:t xml:space="preserve"> Гулькевичского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района» на 202</w:t>
            </w:r>
            <w:r w:rsidR="00FB7E56">
              <w:rPr>
                <w:rFonts w:ascii="Times New Roman" w:hAnsi="Times New Roman"/>
                <w:sz w:val="24"/>
                <w:szCs w:val="24"/>
              </w:rPr>
              <w:t>2 – 2027</w:t>
            </w:r>
            <w:r w:rsidRPr="00847554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795" w:type="dxa"/>
          </w:tcPr>
          <w:p w:rsidR="00C04A3D" w:rsidRPr="00C74C2D" w:rsidRDefault="00C04A3D" w:rsidP="006C7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C2D">
              <w:rPr>
                <w:rFonts w:ascii="Times New Roman" w:hAnsi="Times New Roman" w:cs="Times New Roman"/>
                <w:sz w:val="24"/>
                <w:szCs w:val="24"/>
              </w:rPr>
              <w:t xml:space="preserve">Объем денежных средств, выделяемых из бюджета сельского поселения </w:t>
            </w:r>
            <w:r w:rsidRPr="00BA6EDE">
              <w:rPr>
                <w:rFonts w:ascii="Times New Roman" w:hAnsi="Times New Roman" w:cs="Times New Roman"/>
                <w:sz w:val="24"/>
                <w:szCs w:val="24"/>
              </w:rPr>
              <w:t xml:space="preserve">Союз Четырех Хуторов </w:t>
            </w:r>
            <w:r w:rsidRPr="00C74C2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6C733C">
              <w:rPr>
                <w:rFonts w:ascii="Times New Roman" w:hAnsi="Times New Roman" w:cs="Times New Roman"/>
                <w:sz w:val="24"/>
                <w:szCs w:val="24"/>
              </w:rPr>
              <w:t>благоустройство многофункциональной спортивной площадки, постановке на кадастровый учет земельного участка  разработка дизайн проекта,</w:t>
            </w:r>
            <w:proofErr w:type="gramStart"/>
            <w:r w:rsidR="006C73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18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2C1858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системы учета захоронений</w:t>
            </w:r>
          </w:p>
        </w:tc>
        <w:tc>
          <w:tcPr>
            <w:tcW w:w="1292" w:type="dxa"/>
          </w:tcPr>
          <w:p w:rsidR="00C04A3D" w:rsidRPr="000C03EA" w:rsidRDefault="00C04A3D" w:rsidP="003444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847" w:type="dxa"/>
          </w:tcPr>
          <w:p w:rsidR="00C04A3D" w:rsidRPr="000C03EA" w:rsidRDefault="002C1858" w:rsidP="003444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5066,0</w:t>
            </w:r>
          </w:p>
        </w:tc>
        <w:tc>
          <w:tcPr>
            <w:tcW w:w="1847" w:type="dxa"/>
          </w:tcPr>
          <w:p w:rsidR="00C04A3D" w:rsidRPr="000C03EA" w:rsidRDefault="002C1858" w:rsidP="003444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5066,0</w:t>
            </w:r>
          </w:p>
        </w:tc>
        <w:tc>
          <w:tcPr>
            <w:tcW w:w="1495" w:type="dxa"/>
          </w:tcPr>
          <w:p w:rsidR="00C04A3D" w:rsidRPr="0057225A" w:rsidRDefault="00C04A3D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231F6" w:rsidTr="007231F6">
        <w:tc>
          <w:tcPr>
            <w:tcW w:w="3510" w:type="dxa"/>
          </w:tcPr>
          <w:p w:rsidR="007231F6" w:rsidRPr="0057225A" w:rsidRDefault="007231F6" w:rsidP="00FB7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EB5">
              <w:rPr>
                <w:rFonts w:ascii="Times New Roman" w:hAnsi="Times New Roman"/>
                <w:sz w:val="24"/>
                <w:szCs w:val="24"/>
              </w:rPr>
              <w:t xml:space="preserve">Подпрограмма «Капитальный ремонт и ремонт автомобильных дорог местного значения сельского поселения </w:t>
            </w:r>
            <w:r w:rsidR="00174729" w:rsidRPr="00174729">
              <w:rPr>
                <w:rFonts w:ascii="Times New Roman" w:hAnsi="Times New Roman"/>
                <w:sz w:val="24"/>
                <w:szCs w:val="24"/>
              </w:rPr>
              <w:t>Союз</w:t>
            </w:r>
            <w:proofErr w:type="gramStart"/>
            <w:r w:rsidR="00174729" w:rsidRPr="00174729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proofErr w:type="gramEnd"/>
            <w:r w:rsidR="00174729" w:rsidRPr="00174729">
              <w:rPr>
                <w:rFonts w:ascii="Times New Roman" w:hAnsi="Times New Roman"/>
                <w:sz w:val="24"/>
                <w:szCs w:val="24"/>
              </w:rPr>
              <w:t>етырех Хуторов</w:t>
            </w:r>
            <w:r w:rsidRPr="00A14EB5">
              <w:rPr>
                <w:rFonts w:ascii="Times New Roman" w:hAnsi="Times New Roman"/>
                <w:sz w:val="24"/>
                <w:szCs w:val="24"/>
              </w:rPr>
              <w:t xml:space="preserve"> Гул</w:t>
            </w:r>
            <w:r w:rsidR="00FB7E56">
              <w:rPr>
                <w:rFonts w:ascii="Times New Roman" w:hAnsi="Times New Roman"/>
                <w:sz w:val="24"/>
                <w:szCs w:val="24"/>
              </w:rPr>
              <w:t>ькевичского района на 2022</w:t>
            </w:r>
            <w:r w:rsidR="00F42585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FB7E56">
              <w:rPr>
                <w:rFonts w:ascii="Times New Roman" w:hAnsi="Times New Roman"/>
                <w:sz w:val="24"/>
                <w:szCs w:val="24"/>
              </w:rPr>
              <w:t>7</w:t>
            </w:r>
            <w:r w:rsidRPr="00A14EB5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4795" w:type="dxa"/>
          </w:tcPr>
          <w:p w:rsidR="007231F6" w:rsidRPr="00A14EB5" w:rsidRDefault="002C1858" w:rsidP="003444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 ремонта ул. Школьной х. Чаплыгин, нанесение дорожной разметки и установка дорожных знаков</w:t>
            </w:r>
          </w:p>
        </w:tc>
        <w:tc>
          <w:tcPr>
            <w:tcW w:w="1292" w:type="dxa"/>
          </w:tcPr>
          <w:p w:rsidR="007231F6" w:rsidRPr="000C03EA" w:rsidRDefault="002C1858" w:rsidP="003444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847" w:type="dxa"/>
          </w:tcPr>
          <w:p w:rsidR="007231F6" w:rsidRPr="000C03EA" w:rsidRDefault="002C1858" w:rsidP="00F42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2128,7</w:t>
            </w:r>
          </w:p>
        </w:tc>
        <w:tc>
          <w:tcPr>
            <w:tcW w:w="1847" w:type="dxa"/>
          </w:tcPr>
          <w:p w:rsidR="007231F6" w:rsidRPr="000C03EA" w:rsidRDefault="002C1858" w:rsidP="00FB7E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1823,0</w:t>
            </w:r>
          </w:p>
        </w:tc>
        <w:tc>
          <w:tcPr>
            <w:tcW w:w="1495" w:type="dxa"/>
          </w:tcPr>
          <w:p w:rsidR="007231F6" w:rsidRPr="0057225A" w:rsidRDefault="002C1858" w:rsidP="00FB7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FB7E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937B8" w:rsidRDefault="002937B8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DB5E81" w:rsidRPr="00087235" w:rsidRDefault="002937B8" w:rsidP="00DB5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Главный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специалист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BA6EDE">
        <w:rPr>
          <w:rFonts w:ascii="Times New Roman" w:eastAsia="Arial" w:hAnsi="Times New Roman" w:cs="Times New Roman"/>
          <w:sz w:val="28"/>
          <w:szCs w:val="28"/>
          <w:lang w:eastAsia="ar-SA"/>
        </w:rPr>
        <w:t>Н.М. Сироткина</w:t>
      </w:r>
    </w:p>
    <w:sectPr w:rsidR="00DB5E81" w:rsidRPr="00087235" w:rsidSect="002C1858">
      <w:pgSz w:w="16838" w:h="11906" w:orient="landscape"/>
      <w:pgMar w:top="113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3CC"/>
    <w:rsid w:val="0002065A"/>
    <w:rsid w:val="00050257"/>
    <w:rsid w:val="00087235"/>
    <w:rsid w:val="000C51E6"/>
    <w:rsid w:val="00174729"/>
    <w:rsid w:val="00265B1E"/>
    <w:rsid w:val="0028694C"/>
    <w:rsid w:val="002937B8"/>
    <w:rsid w:val="002C1858"/>
    <w:rsid w:val="00353B89"/>
    <w:rsid w:val="003E34F4"/>
    <w:rsid w:val="00433D02"/>
    <w:rsid w:val="004A02FF"/>
    <w:rsid w:val="004F7A78"/>
    <w:rsid w:val="005433DC"/>
    <w:rsid w:val="0057225A"/>
    <w:rsid w:val="00607D88"/>
    <w:rsid w:val="006C733C"/>
    <w:rsid w:val="007231F6"/>
    <w:rsid w:val="00745108"/>
    <w:rsid w:val="007C2AC2"/>
    <w:rsid w:val="00811692"/>
    <w:rsid w:val="008272A1"/>
    <w:rsid w:val="008B0542"/>
    <w:rsid w:val="008D03CC"/>
    <w:rsid w:val="00907574"/>
    <w:rsid w:val="00981CD8"/>
    <w:rsid w:val="00985021"/>
    <w:rsid w:val="009D264E"/>
    <w:rsid w:val="00A7288B"/>
    <w:rsid w:val="00A94068"/>
    <w:rsid w:val="00A96BA7"/>
    <w:rsid w:val="00B96C14"/>
    <w:rsid w:val="00BA6EDE"/>
    <w:rsid w:val="00BE2F84"/>
    <w:rsid w:val="00BE7816"/>
    <w:rsid w:val="00C04A3D"/>
    <w:rsid w:val="00C14F70"/>
    <w:rsid w:val="00C26593"/>
    <w:rsid w:val="00C74C2D"/>
    <w:rsid w:val="00D43815"/>
    <w:rsid w:val="00D74ECC"/>
    <w:rsid w:val="00DB5E81"/>
    <w:rsid w:val="00ED71C1"/>
    <w:rsid w:val="00F022B6"/>
    <w:rsid w:val="00F127FD"/>
    <w:rsid w:val="00F42585"/>
    <w:rsid w:val="00FB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5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E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5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E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finansist</dc:creator>
  <cp:keywords/>
  <dc:description/>
  <cp:lastModifiedBy>user</cp:lastModifiedBy>
  <cp:revision>39</cp:revision>
  <cp:lastPrinted>2016-02-12T07:55:00Z</cp:lastPrinted>
  <dcterms:created xsi:type="dcterms:W3CDTF">2016-02-11T08:46:00Z</dcterms:created>
  <dcterms:modified xsi:type="dcterms:W3CDTF">2025-03-17T11:51:00Z</dcterms:modified>
</cp:coreProperties>
</file>